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D4CB" w14:textId="6F4EA1E9" w:rsidR="00CF6BAC" w:rsidRDefault="002E0E94" w:rsidP="006D3C0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eastAsia="en-GB"/>
        </w:rPr>
      </w:pPr>
      <w:r w:rsidRPr="00CF6BAC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GB"/>
        </w:rPr>
        <w:t xml:space="preserve">سلطة </w:t>
      </w:r>
      <w:r w:rsidR="00820EED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GB"/>
        </w:rPr>
        <w:t>التسجيل</w:t>
      </w:r>
      <w:r w:rsidRPr="00CF6BAC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GB"/>
        </w:rPr>
        <w:t xml:space="preserve"> في سوق أبوظبي العالمي تصدر </w:t>
      </w:r>
      <w:r w:rsidR="00BD293E" w:rsidRPr="00CF6BAC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GB"/>
        </w:rPr>
        <w:t>تنبيهاً بخصوص رخصة تجارية مزيفة</w:t>
      </w:r>
    </w:p>
    <w:p w14:paraId="511A6DD4" w14:textId="77777777" w:rsidR="006D3C08" w:rsidRPr="00820EED" w:rsidRDefault="006D3C08" w:rsidP="006D3C0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eastAsia="en-GB"/>
        </w:rPr>
      </w:pPr>
    </w:p>
    <w:p w14:paraId="18C0A8AE" w14:textId="07A50A98" w:rsidR="00261719" w:rsidRPr="007E52A4" w:rsidRDefault="00261719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أصدرت </w:t>
      </w:r>
      <w:r w:rsidR="00662744" w:rsidRPr="008E471B">
        <w:rPr>
          <w:rFonts w:ascii="Simplified Arabic" w:hAnsi="Simplified Arabic" w:cs="Simplified Arabic" w:hint="eastAsia"/>
          <w:sz w:val="28"/>
          <w:szCs w:val="28"/>
          <w:rtl/>
        </w:rPr>
        <w:t>سلطة</w:t>
      </w:r>
      <w:r w:rsidR="00662744" w:rsidRPr="008E47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62744" w:rsidRPr="008E471B">
        <w:rPr>
          <w:rFonts w:ascii="Simplified Arabic" w:hAnsi="Simplified Arabic" w:cs="Simplified Arabic" w:hint="eastAsia"/>
          <w:sz w:val="28"/>
          <w:szCs w:val="28"/>
          <w:rtl/>
        </w:rPr>
        <w:t>التسجيل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في سوق أبوظبي العالمي تنبيه</w:t>
      </w:r>
      <w:r w:rsidR="00380FBB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ً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 بشأن إصدار </w:t>
      </w:r>
      <w:r w:rsidR="0066274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رخصة</w:t>
      </w:r>
      <w:r w:rsidR="0066274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تجارية </w:t>
      </w:r>
      <w:r w:rsidR="00380FBB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مزيفة </w:t>
      </w:r>
      <w:r w:rsidR="000D30FF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تدعي </w:t>
      </w:r>
      <w:r w:rsidR="00380FBB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أنها صادرة من سلطة </w:t>
      </w:r>
      <w:r w:rsidR="0066274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التسجيل</w:t>
      </w:r>
      <w:r w:rsidR="00DA7A1C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، </w:t>
      </w:r>
      <w:r w:rsidR="00830670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وتزعم أن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شرك</w:t>
      </w:r>
      <w:r w:rsidR="00E659F0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ة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غير </w:t>
      </w:r>
      <w:r w:rsidR="00FE5263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مسجلة في </w:t>
      </w:r>
      <w:r w:rsidR="00576E6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سوق أبوظبي العالمي </w:t>
      </w:r>
      <w:r w:rsidR="00830670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قد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تم تأسيسها أو تسجيلها أو ترخيصها في </w:t>
      </w:r>
      <w:r w:rsidR="00830670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سوق أبوظبي العالمي</w:t>
      </w:r>
      <w:r w:rsidR="00220A3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. وتحذر السلطة أن تلك الرخصة ليس لها أساس من الصحة وهي مزورة تمامًا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. </w:t>
      </w:r>
      <w:r w:rsidR="00011F8F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وقد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ادعى </w:t>
      </w:r>
      <w:r w:rsidR="00415566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الشخص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المتورط في هذا العمل الاحتيالي</w:t>
      </w:r>
      <w:r w:rsidR="00415566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،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أن</w:t>
      </w:r>
      <w:r w:rsidR="00011F8F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ه بموجب هذه الرخصة "المزيفة" قد تم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="00011F8F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تأسيس </w:t>
      </w:r>
      <w:r w:rsidR="00FE5263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شركة </w:t>
      </w:r>
      <w:r w:rsidR="0089172E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و</w:t>
      </w:r>
      <w:r w:rsidR="00415566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ترخ</w:t>
      </w:r>
      <w:r w:rsidR="00E659F0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ي</w:t>
      </w:r>
      <w:r w:rsidR="00415566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صها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لممارسة أنواع معينة من الأعمال في أو </w:t>
      </w:r>
      <w:r w:rsidR="00415566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من خلال سوق أبوظبي العالمي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، وهو </w:t>
      </w:r>
      <w:r w:rsidR="00415566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ادعاء غير صحيح ومزيف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بشكل واضح.</w:t>
      </w:r>
    </w:p>
    <w:p w14:paraId="37F30421" w14:textId="77777777" w:rsidR="007E52A4" w:rsidRPr="008E471B" w:rsidRDefault="007E52A4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  <w:lang w:val="en-US"/>
        </w:rPr>
      </w:pPr>
    </w:p>
    <w:p w14:paraId="0711C502" w14:textId="53EAE147" w:rsidR="00B57E16" w:rsidRDefault="00054E10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</w:pP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يرجى الاطلاع على نسخة الرخصة التجارية المزيفة</w:t>
      </w:r>
      <w:r w:rsidR="00AA3E5A">
        <w:rPr>
          <w:rFonts w:ascii="Simplified Arabic" w:hAnsi="Simplified Arabic" w:cs="Simplified Arabic" w:hint="cs"/>
          <w:color w:val="002A3A" w:themeColor="text1"/>
          <w:sz w:val="28"/>
          <w:szCs w:val="28"/>
          <w:rtl/>
          <w:lang w:bidi="ar-AE"/>
        </w:rPr>
        <w:t xml:space="preserve"> ادناه ,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="00D27E26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و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التي </w:t>
      </w:r>
      <w:r w:rsidR="00AA3E5A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تحتوي على العديد من</w:t>
      </w:r>
      <w:r w:rsidR="00F031F6" w:rsidRPr="00F031F6"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  <w:t xml:space="preserve"> </w:t>
      </w:r>
      <w:proofErr w:type="spellStart"/>
      <w:r w:rsidR="00B5619D" w:rsidRPr="00A3481D">
        <w:rPr>
          <w:rFonts w:ascii="Simplified Arabic" w:hAnsi="Simplified Arabic" w:cs="Simplified Arabic"/>
          <w:color w:val="002A3A" w:themeColor="text1"/>
          <w:sz w:val="28"/>
          <w:szCs w:val="28"/>
        </w:rPr>
        <w:t>الأخطاء</w:t>
      </w:r>
      <w:proofErr w:type="spellEnd"/>
      <w:r w:rsidR="00CC46A1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="00CC46A1">
        <w:rPr>
          <w:rFonts w:ascii="Simplified Arabic" w:hAnsi="Simplified Arabic" w:cs="Simplified Arabic"/>
          <w:color w:val="002A3A" w:themeColor="text1"/>
          <w:sz w:val="28"/>
          <w:szCs w:val="28"/>
        </w:rPr>
        <w:t xml:space="preserve"> </w:t>
      </w:r>
      <w:r w:rsidR="00AA3E5A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الواضحة</w:t>
      </w:r>
      <w:r w:rsidR="00D27E26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.</w:t>
      </w:r>
    </w:p>
    <w:p w14:paraId="1FEF13F5" w14:textId="24A0469F" w:rsidR="007E52A4" w:rsidRPr="007E52A4" w:rsidRDefault="008E471B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  <w:r>
        <w:rPr>
          <w:rFonts w:ascii="Simplified Arabic" w:hAnsi="Simplified Arabic" w:cs="Simplified Arabic"/>
          <w:noProof/>
          <w:color w:val="002A3A" w:themeColor="text1"/>
          <w:sz w:val="28"/>
          <w:szCs w:val="28"/>
        </w:rPr>
        <w:object w:dxaOrig="1440" w:dyaOrig="1440" w14:anchorId="6B022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7.8pt;margin-top:12.8pt;width:297.5pt;height:421pt;z-index:251659264;mso-position-horizontal-relative:text;mso-position-vertical-relative:text">
            <v:imagedata r:id="rId8" o:title=""/>
            <w10:wrap type="square"/>
          </v:shape>
          <o:OLEObject Type="Embed" ProgID="AcroExch.Document.DC" ShapeID="_x0000_s1026" DrawAspect="Content" ObjectID="_1718452617" r:id="rId9"/>
        </w:object>
      </w:r>
    </w:p>
    <w:p w14:paraId="0627B77D" w14:textId="3CB6F0DB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5142CF1C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3E96D896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5F546A4A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467641AA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4ACD1182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1399853A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17762B22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55AD7D45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02785CBB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75C6F36F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035308CC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44C5C11A" w14:textId="77777777" w:rsidR="00B57E16" w:rsidRPr="007E52A4" w:rsidRDefault="00B57E16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1162700B" w14:textId="77777777" w:rsidR="0089172E" w:rsidRDefault="0089172E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</w:pPr>
    </w:p>
    <w:p w14:paraId="75654307" w14:textId="77777777" w:rsidR="0089172E" w:rsidRDefault="0089172E" w:rsidP="0089172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</w:pPr>
    </w:p>
    <w:p w14:paraId="14EA3B8D" w14:textId="77777777" w:rsidR="0089172E" w:rsidRDefault="0089172E" w:rsidP="0089172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</w:pPr>
    </w:p>
    <w:p w14:paraId="5089BEC2" w14:textId="77777777" w:rsidR="0089172E" w:rsidRDefault="0089172E" w:rsidP="0089172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</w:pPr>
    </w:p>
    <w:p w14:paraId="309F4A99" w14:textId="77777777" w:rsidR="0089172E" w:rsidRDefault="0089172E" w:rsidP="0089172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</w:pPr>
    </w:p>
    <w:p w14:paraId="37BA0B87" w14:textId="03C7150F" w:rsidR="004B45CD" w:rsidRPr="007E52A4" w:rsidRDefault="004B45CD" w:rsidP="0089172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ومن الواضح، أن إصدار هذه الرخصة التجارية المزيفة تحت اسم سلطة </w:t>
      </w:r>
      <w:r w:rsidR="00F031F6">
        <w:rPr>
          <w:rFonts w:ascii="Simplified Arabic" w:hAnsi="Simplified Arabic" w:cs="Simplified Arabic" w:hint="cs"/>
          <w:color w:val="002A3A" w:themeColor="text1"/>
          <w:sz w:val="28"/>
          <w:szCs w:val="28"/>
          <w:rtl/>
          <w:lang w:bidi="ar-AE"/>
        </w:rPr>
        <w:t>التسجيل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في سوق أبوظبي العالمي، كان جزءًا من مخطط احتيالي أكبر، كان </w:t>
      </w:r>
      <w:r w:rsidR="006661B3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من الممكن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أن يؤدي إلى خسائر مالية كبيرة للشركات </w:t>
      </w:r>
      <w:r w:rsidR="006661B3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غير المدركة لزيفها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. </w:t>
      </w:r>
      <w:r w:rsidR="008505A9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وقد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ادعى الجاني أن </w:t>
      </w:r>
      <w:r w:rsidR="008505A9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تأ</w:t>
      </w:r>
      <w:r w:rsidR="007774A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سيس</w:t>
      </w:r>
      <w:r w:rsidR="008505A9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="007774A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شركة </w:t>
      </w:r>
      <w:r w:rsidR="00AE55DB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"</w:t>
      </w:r>
      <w:r w:rsidR="0069547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خاصة</w:t>
      </w:r>
      <w:r w:rsidR="009E6CEA">
        <w:rPr>
          <w:rFonts w:ascii="Simplified Arabic" w:hAnsi="Simplified Arabic" w:cs="Simplified Arabic" w:hint="cs"/>
          <w:color w:val="002A3A" w:themeColor="text1"/>
          <w:sz w:val="28"/>
          <w:szCs w:val="28"/>
          <w:rtl/>
          <w:lang w:bidi="ar-AE"/>
        </w:rPr>
        <w:t xml:space="preserve"> الاغراض</w:t>
      </w:r>
      <w:r w:rsidR="00AE55DB">
        <w:rPr>
          <w:rFonts w:ascii="Simplified Arabic" w:hAnsi="Simplified Arabic" w:cs="Simplified Arabic" w:hint="cs"/>
          <w:color w:val="002A3A" w:themeColor="text1"/>
          <w:sz w:val="28"/>
          <w:szCs w:val="28"/>
          <w:rtl/>
          <w:lang w:bidi="ar-AE"/>
        </w:rPr>
        <w:t>"</w:t>
      </w:r>
      <w:r w:rsidR="0069547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كما هو مذكور في الرخصة المزيفة</w:t>
      </w:r>
      <w:r w:rsidR="004B07DE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="0069547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كانت مطلوبة للدخول في اتفاقية </w:t>
      </w:r>
      <w:r w:rsidR="00567C3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للحصول على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قرض</w:t>
      </w:r>
      <w:r w:rsidR="00567C3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، وكا</w:t>
      </w:r>
      <w:r w:rsidR="00535223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ن</w:t>
      </w:r>
      <w:r w:rsidR="00567C3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من المفترض أن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يتم بعد ذلك إيداع الأموال الخاصة بهذا القرض المزعوم في الحساب المصرفي </w:t>
      </w:r>
      <w:r w:rsidR="00567C3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لهذه الشركة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في </w:t>
      </w:r>
      <w:r w:rsidR="00567C3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أحد البنوك</w:t>
      </w:r>
      <w:r w:rsidR="00535223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،</w:t>
      </w:r>
      <w:r w:rsidR="00567C3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الذي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يقع في مكان آخر </w:t>
      </w:r>
      <w:r w:rsidR="0011155D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داخل دولة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الإمارات العربية المتحدة. كما طلب </w:t>
      </w:r>
      <w:r w:rsidR="0011155D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هذا الشخص المحتال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من الضحية </w:t>
      </w:r>
      <w:r w:rsidR="00535223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المستهدفة </w:t>
      </w:r>
      <w:r w:rsidR="00730880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في</w:t>
      </w:r>
      <w:r w:rsidR="00730880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="0011155D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عملية </w:t>
      </w:r>
      <w:r w:rsidR="00535223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</w:t>
      </w:r>
      <w:r w:rsidR="0011155D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احتيال،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الشروع في تحويل أموال من خلال حساب مصرفي غير موجود يزعم أنه تم إنشاؤه نيابة عن الشركة.</w:t>
      </w:r>
    </w:p>
    <w:p w14:paraId="5DC5EEFD" w14:textId="77777777" w:rsidR="004B07DE" w:rsidRDefault="004B07DE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</w:pPr>
    </w:p>
    <w:p w14:paraId="018967D2" w14:textId="3E7D08C3" w:rsidR="00BF0B47" w:rsidRPr="007E52A4" w:rsidRDefault="0015683F" w:rsidP="004B07D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إن إطلاق إدعاء زائف </w:t>
      </w:r>
      <w:r w:rsidR="00BF0B4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عن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وجود شركة </w:t>
      </w:r>
      <w:r w:rsidR="00BF0B4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يتم تأسيسها أو تسجيلها أو ترخيصها لمزاولة أعمال معينة في أو من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خلال سوق أبوظبي العالمي يعد </w:t>
      </w:r>
      <w:r w:rsidR="00BF0B4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انتهاكًا خطيرًا لتشريعات </w:t>
      </w:r>
      <w:r w:rsidR="00E166A9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سوق أبوظبي العالمي،</w:t>
      </w:r>
      <w:r w:rsidR="00BF0B4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="00E166A9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و</w:t>
      </w:r>
      <w:r w:rsidR="00BF0B4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يمكن أن </w:t>
      </w:r>
      <w:r w:rsidR="00E166A9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يقود </w:t>
      </w:r>
      <w:r w:rsidR="00BF0B4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هذا النوع من </w:t>
      </w:r>
      <w:r w:rsidR="00E166A9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الاحتيال المجرّم</w:t>
      </w:r>
      <w:r w:rsidR="00BF0B4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، والذي يتضمن عادةً ادعاءات كاذبة على </w:t>
      </w:r>
      <w:r w:rsidR="00E166A9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إحدى مواقع الإنترنت </w:t>
      </w:r>
      <w:r w:rsidR="00BF0B4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أو </w:t>
      </w:r>
      <w:r w:rsidR="00862823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تزييف </w:t>
      </w:r>
      <w:r w:rsidR="00BF0B4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عقد أو نموذج اشتراك مستثمر وما إلى ذلك، إلى </w:t>
      </w:r>
      <w:r w:rsidR="00862823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فرض غرامة تصل قيمتها </w:t>
      </w:r>
      <w:r w:rsidR="00BF0B47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إلى 15000 دولار أمريكي لكل مخالفة.</w:t>
      </w:r>
    </w:p>
    <w:p w14:paraId="5B424E8C" w14:textId="77777777" w:rsidR="004B07DE" w:rsidRDefault="004B07DE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</w:pPr>
    </w:p>
    <w:p w14:paraId="309FD97A" w14:textId="077F9AAC" w:rsidR="00D43A1F" w:rsidRPr="007E52A4" w:rsidRDefault="00AF5F58" w:rsidP="004B07D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  <w:r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وتحذر </w:t>
      </w:r>
      <w:r w:rsidR="00D43A1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سلطة </w:t>
      </w:r>
      <w:r w:rsidR="00AE55DB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التسجيل</w:t>
      </w:r>
      <w:r w:rsidR="00D43A1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وبشكل </w:t>
      </w:r>
      <w:r w:rsidR="00D43A1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خاص من </w:t>
      </w:r>
      <w:r w:rsidR="00184A40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وجود مثل هذه الإدعاءات </w:t>
      </w:r>
      <w:r w:rsidR="00D43A1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الكاذبة والمضللة</w:t>
      </w:r>
      <w:r w:rsidR="00184A40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، والتي</w:t>
      </w:r>
      <w:r w:rsidR="00D43A1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لديها القدرة على تضليل الجمهور عن طريق الاحتيال للاستثمار في هذه الشركات غير </w:t>
      </w:r>
      <w:r w:rsidR="00184A40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المسجلة في سوق أبوظبي العالمي</w:t>
      </w:r>
      <w:r w:rsidR="00D43A1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، بناءً على اعتقاد خاطئ بأنها مسجلة أو مرخصة لدى </w:t>
      </w:r>
      <w:r w:rsidR="005826E1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سوق أبوظبي العالمي</w:t>
      </w:r>
      <w:r w:rsidR="00D43A1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. </w:t>
      </w:r>
      <w:r w:rsidR="005826E1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ومن الممكن </w:t>
      </w:r>
      <w:r w:rsidR="00D43A1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أن يؤدي هذا النوع </w:t>
      </w:r>
      <w:r w:rsidR="005826E1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من </w:t>
      </w:r>
      <w:r w:rsidR="00D43A1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الاحتيال إلى </w:t>
      </w:r>
      <w:r w:rsidR="00E659F0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فرض </w:t>
      </w:r>
      <w:r w:rsidR="00D43A1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غرامات تصل إلى 50000 دولار أمريكي ويمكن أن يتسبب أيضًا في ضرر مالي كبير للشركات والأفراد غير </w:t>
      </w:r>
      <w:r w:rsidR="005826E1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المدركين لهذا النوع من الاحتيال</w:t>
      </w:r>
      <w:r w:rsidR="00D43A1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.</w:t>
      </w:r>
    </w:p>
    <w:p w14:paraId="2F887D72" w14:textId="77777777" w:rsidR="00AF5F58" w:rsidRDefault="00AF5F58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</w:pPr>
    </w:p>
    <w:p w14:paraId="4C83A651" w14:textId="2CC9E51E" w:rsidR="005826E1" w:rsidRDefault="009960B6" w:rsidP="00AF5F5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</w:pP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وتهيب سلطة </w:t>
      </w:r>
      <w:r w:rsidR="00E71CDE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التسجيل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بالجمهور والمستثمرين</w:t>
      </w:r>
      <w:r w:rsidR="002E0A2D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أن يتخذوا الحيطة والحذر والتثبّت من كل ادعاء، وذلك بالبحث </w:t>
      </w:r>
      <w:r w:rsidR="00730880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عبر</w:t>
      </w:r>
      <w:r w:rsidR="00730880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="002E0A2D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الموقع الإلكتروني لسوق أبوظبي العالمي </w:t>
      </w:r>
      <w:hyperlink r:id="rId10" w:tgtFrame="_blank" w:history="1">
        <w:r w:rsidR="00677C6C" w:rsidRPr="007E52A4">
          <w:rPr>
            <w:rStyle w:val="Hyperlink"/>
            <w:rFonts w:ascii="Simplified Arabic" w:eastAsiaTheme="majorEastAsia" w:hAnsi="Simplified Arabic" w:cs="Simplified Arabic" w:hint="cs"/>
            <w:color w:val="002A3A" w:themeColor="text1"/>
            <w:sz w:val="28"/>
            <w:szCs w:val="28"/>
          </w:rPr>
          <w:t>www.registration.adgm.com</w:t>
        </w:r>
      </w:hyperlink>
      <w:r w:rsidR="00677C6C" w:rsidRPr="007E52A4">
        <w:rPr>
          <w:rStyle w:val="Hyperlink"/>
          <w:rFonts w:ascii="Simplified Arabic" w:eastAsiaTheme="majorEastAsia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="002E0A2D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للتأكد</w:t>
      </w:r>
      <w:r w:rsidR="00677C6C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من أسماء الشركات المسجلة </w:t>
      </w:r>
      <w:r w:rsidR="00AF5F58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و</w:t>
      </w:r>
      <w:r w:rsidR="00677C6C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المرخصة على قوائم سوق أبوظبي العالمي.</w:t>
      </w:r>
    </w:p>
    <w:p w14:paraId="3B405CB3" w14:textId="77777777" w:rsidR="00AF5F58" w:rsidRPr="007E52A4" w:rsidRDefault="00AF5F58" w:rsidP="00AF5F5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</w:p>
    <w:p w14:paraId="1F8523C5" w14:textId="14AC2566" w:rsidR="002425E9" w:rsidRPr="007E52A4" w:rsidRDefault="002425E9" w:rsidP="007E52A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2A3A" w:themeColor="text1"/>
          <w:sz w:val="28"/>
          <w:szCs w:val="28"/>
        </w:rPr>
      </w:pP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وباستخدام خاصية "البحث عن شركة" </w:t>
      </w:r>
      <w:r w:rsidR="008E27A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على الموقع الإلكتروني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، يمكنك</w:t>
      </w:r>
      <w:r w:rsidR="008E27A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م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="008E27A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دائم</w:t>
      </w:r>
      <w:r w:rsidR="005B68F7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ً</w:t>
      </w:r>
      <w:r w:rsidR="008E27A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عرض تفاصيل جميع </w:t>
      </w:r>
      <w:r w:rsidR="00E71CDE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الشركات</w:t>
      </w:r>
      <w:r w:rsidR="00E71CDE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المسجلة وغير المسجلة في </w:t>
      </w:r>
      <w:r w:rsidR="008E27A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سوق أبوظبي العالمي ومن بينها،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الشركات المسجلة والفروع المسجلة للشركات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lastRenderedPageBreak/>
        <w:t xml:space="preserve">الأجنبية في </w:t>
      </w:r>
      <w:r w:rsidR="008E27AF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سوق أبوظبي العالمي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. </w:t>
      </w:r>
      <w:r w:rsidR="00730880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هذه</w:t>
      </w:r>
      <w:r w:rsidR="00730880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="00730880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</w:t>
      </w:r>
      <w:r w:rsidR="00D4767A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خدمة متوفر</w:t>
      </w:r>
      <w:r w:rsidR="00730880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ة</w:t>
      </w:r>
      <w:r w:rsidR="00D4767A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مجان</w:t>
      </w:r>
      <w:r w:rsidR="005B68F7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ً</w:t>
      </w:r>
      <w:r w:rsidR="00D4767A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 على الموقع الإلكتروني لسوق أبوظبي العالمي. </w:t>
      </w:r>
    </w:p>
    <w:p w14:paraId="6EBD4408" w14:textId="25103DEE" w:rsidR="00E90A1F" w:rsidRDefault="00E90A1F" w:rsidP="007E52A4">
      <w:pPr>
        <w:bidi/>
        <w:spacing w:after="0" w:line="240" w:lineRule="auto"/>
        <w:jc w:val="both"/>
        <w:rPr>
          <w:rFonts w:ascii="Simplified Arabic" w:hAnsi="Simplified Arabic" w:cs="Simplified Arabic"/>
          <w:color w:val="002A3A" w:themeColor="text1"/>
          <w:sz w:val="28"/>
          <w:szCs w:val="28"/>
          <w:rtl/>
        </w:rPr>
      </w:pP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وتوجه سلطة </w:t>
      </w:r>
      <w:r w:rsidR="00E71CDE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التسجيل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في سوق أبوظبي العالمي دعوتها للجمهور والمستثمرين بتوخي الحيطة والحذر دائمًا عند </w:t>
      </w:r>
      <w:r w:rsidR="00730880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التواصل</w:t>
      </w:r>
      <w:r w:rsidR="00730880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بممثل أي كيان يدعي أنه سوف يقوم بالتسجيل والتأسيس والحصول على ترخيص من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</w:rPr>
        <w:t xml:space="preserve">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سوق أبوظبي العالمي لممارسة الأعمال في أو من خلال </w:t>
      </w:r>
      <w:r w:rsidR="004526DC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سوق أبوظبي العالمي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. وهذا يشمل على وجه الخصوص </w:t>
      </w:r>
      <w:r w:rsidR="001B345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طلبات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اتفاقيات الاستثمار أو القروض. </w:t>
      </w:r>
      <w:r w:rsidR="001B345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و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قبل الاستثمار في مثل هذه الشركات، يجب على </w:t>
      </w:r>
      <w:r w:rsidR="001B345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الشخص أو الكيان، أن يحرص على </w:t>
      </w:r>
      <w:r w:rsidR="007E52A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اتباع الخطوات التي تضمن له سلامة ال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إجراء</w:t>
      </w:r>
      <w:r w:rsidR="007E52A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ات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، </w:t>
      </w:r>
      <w:r w:rsidR="007E52A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ومن بينها ال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تأكد </w:t>
      </w:r>
      <w:r w:rsidR="007E52A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من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الوضع الحالي للكيان </w:t>
      </w:r>
      <w:r w:rsidR="007E52A4"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 xml:space="preserve">الذي سيتعامل معه 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ونطاق ترخيصه</w:t>
      </w:r>
      <w:r w:rsidRPr="007E52A4">
        <w:rPr>
          <w:rFonts w:ascii="Simplified Arabic" w:hAnsi="Simplified Arabic" w:cs="Simplified Arabic" w:hint="cs"/>
          <w:color w:val="002A3A" w:themeColor="text1"/>
          <w:sz w:val="28"/>
          <w:szCs w:val="28"/>
        </w:rPr>
        <w:t>.</w:t>
      </w:r>
    </w:p>
    <w:p w14:paraId="20B0FC1D" w14:textId="4BDB1010" w:rsidR="00E659F0" w:rsidRPr="007E52A4" w:rsidRDefault="00E659F0" w:rsidP="00E659F0">
      <w:pPr>
        <w:bidi/>
        <w:spacing w:after="0" w:line="240" w:lineRule="auto"/>
        <w:jc w:val="center"/>
        <w:rPr>
          <w:rFonts w:ascii="Simplified Arabic" w:hAnsi="Simplified Arabic" w:cs="Simplified Arabic"/>
          <w:color w:val="002A3A" w:themeColor="text1"/>
          <w:sz w:val="28"/>
          <w:szCs w:val="28"/>
        </w:rPr>
      </w:pPr>
      <w:r>
        <w:rPr>
          <w:rFonts w:ascii="Simplified Arabic" w:hAnsi="Simplified Arabic" w:cs="Simplified Arabic" w:hint="cs"/>
          <w:color w:val="002A3A" w:themeColor="text1"/>
          <w:sz w:val="28"/>
          <w:szCs w:val="28"/>
          <w:rtl/>
        </w:rPr>
        <w:t>انتهى</w:t>
      </w:r>
    </w:p>
    <w:sectPr w:rsidR="00E659F0" w:rsidRPr="007E52A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197F" w14:textId="77777777" w:rsidR="008619CC" w:rsidRDefault="008619CC" w:rsidP="008619CC">
      <w:pPr>
        <w:spacing w:after="0" w:line="240" w:lineRule="auto"/>
      </w:pPr>
      <w:r>
        <w:separator/>
      </w:r>
    </w:p>
  </w:endnote>
  <w:endnote w:type="continuationSeparator" w:id="0">
    <w:p w14:paraId="70555DFC" w14:textId="77777777" w:rsidR="008619CC" w:rsidRDefault="008619CC" w:rsidP="0086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96F5" w14:textId="77777777" w:rsidR="008619CC" w:rsidRDefault="008619CC" w:rsidP="008619CC">
      <w:pPr>
        <w:spacing w:after="0" w:line="240" w:lineRule="auto"/>
      </w:pPr>
      <w:r>
        <w:separator/>
      </w:r>
    </w:p>
  </w:footnote>
  <w:footnote w:type="continuationSeparator" w:id="0">
    <w:p w14:paraId="0AC81B93" w14:textId="77777777" w:rsidR="008619CC" w:rsidRDefault="008619CC" w:rsidP="0086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29A6" w14:textId="536BCFEF" w:rsidR="006D3C08" w:rsidRDefault="006D3C08" w:rsidP="006D3C08">
    <w:pPr>
      <w:pStyle w:val="Header"/>
      <w:jc w:val="right"/>
    </w:pPr>
    <w:r>
      <w:rPr>
        <w:noProof/>
      </w:rPr>
      <w:drawing>
        <wp:inline distT="0" distB="0" distL="0" distR="0" wp14:anchorId="6A14E095" wp14:editId="3DF8AF63">
          <wp:extent cx="2322830" cy="408305"/>
          <wp:effectExtent l="0" t="0" r="127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5E2D72" w14:textId="496DAED2" w:rsidR="006D3C08" w:rsidRPr="006D3C08" w:rsidRDefault="006D3C08" w:rsidP="006D3C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64C46"/>
    <w:multiLevelType w:val="multilevel"/>
    <w:tmpl w:val="B07C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21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8D"/>
    <w:rsid w:val="00011F8F"/>
    <w:rsid w:val="00031C6D"/>
    <w:rsid w:val="00045F74"/>
    <w:rsid w:val="00054E10"/>
    <w:rsid w:val="000808CB"/>
    <w:rsid w:val="000A7E94"/>
    <w:rsid w:val="000D30FF"/>
    <w:rsid w:val="001036F0"/>
    <w:rsid w:val="0011155D"/>
    <w:rsid w:val="00120A8D"/>
    <w:rsid w:val="00121D41"/>
    <w:rsid w:val="0015683F"/>
    <w:rsid w:val="00174F0B"/>
    <w:rsid w:val="00184A40"/>
    <w:rsid w:val="001A0496"/>
    <w:rsid w:val="001B3454"/>
    <w:rsid w:val="001F390D"/>
    <w:rsid w:val="001F4760"/>
    <w:rsid w:val="001F7029"/>
    <w:rsid w:val="00220A34"/>
    <w:rsid w:val="002425E9"/>
    <w:rsid w:val="00247DEE"/>
    <w:rsid w:val="00261719"/>
    <w:rsid w:val="002B7E26"/>
    <w:rsid w:val="002D172B"/>
    <w:rsid w:val="002E0A2D"/>
    <w:rsid w:val="002E0E94"/>
    <w:rsid w:val="002F4470"/>
    <w:rsid w:val="002F6B2B"/>
    <w:rsid w:val="00341696"/>
    <w:rsid w:val="00362D87"/>
    <w:rsid w:val="00365EB9"/>
    <w:rsid w:val="00380FBB"/>
    <w:rsid w:val="003B0151"/>
    <w:rsid w:val="003F1685"/>
    <w:rsid w:val="00415566"/>
    <w:rsid w:val="004326D1"/>
    <w:rsid w:val="004526DC"/>
    <w:rsid w:val="00456DA9"/>
    <w:rsid w:val="004A0A63"/>
    <w:rsid w:val="004A111E"/>
    <w:rsid w:val="004B07DE"/>
    <w:rsid w:val="004B45CD"/>
    <w:rsid w:val="004C2A62"/>
    <w:rsid w:val="00535223"/>
    <w:rsid w:val="00555C9B"/>
    <w:rsid w:val="00556991"/>
    <w:rsid w:val="00562FD0"/>
    <w:rsid w:val="00567C34"/>
    <w:rsid w:val="005723C3"/>
    <w:rsid w:val="00576E67"/>
    <w:rsid w:val="005826E1"/>
    <w:rsid w:val="005A073B"/>
    <w:rsid w:val="005A2E7C"/>
    <w:rsid w:val="005B54B1"/>
    <w:rsid w:val="005B68F7"/>
    <w:rsid w:val="005B6F04"/>
    <w:rsid w:val="005F2267"/>
    <w:rsid w:val="0060068F"/>
    <w:rsid w:val="00612E9E"/>
    <w:rsid w:val="0062208D"/>
    <w:rsid w:val="006327E5"/>
    <w:rsid w:val="006444D3"/>
    <w:rsid w:val="00646FD4"/>
    <w:rsid w:val="00647F63"/>
    <w:rsid w:val="00662744"/>
    <w:rsid w:val="00662C93"/>
    <w:rsid w:val="006661B3"/>
    <w:rsid w:val="00677C6C"/>
    <w:rsid w:val="00695474"/>
    <w:rsid w:val="006B0B39"/>
    <w:rsid w:val="006D1282"/>
    <w:rsid w:val="006D3C08"/>
    <w:rsid w:val="006F055F"/>
    <w:rsid w:val="0072070C"/>
    <w:rsid w:val="00730880"/>
    <w:rsid w:val="007774A7"/>
    <w:rsid w:val="007B5F64"/>
    <w:rsid w:val="007C515B"/>
    <w:rsid w:val="007D3F57"/>
    <w:rsid w:val="007E52A4"/>
    <w:rsid w:val="008067C6"/>
    <w:rsid w:val="008075FE"/>
    <w:rsid w:val="00813ECC"/>
    <w:rsid w:val="00820EED"/>
    <w:rsid w:val="00830670"/>
    <w:rsid w:val="008356CC"/>
    <w:rsid w:val="00837F2C"/>
    <w:rsid w:val="008505A9"/>
    <w:rsid w:val="008518A6"/>
    <w:rsid w:val="008619CC"/>
    <w:rsid w:val="00862823"/>
    <w:rsid w:val="0089172E"/>
    <w:rsid w:val="008D3EBA"/>
    <w:rsid w:val="008E27AF"/>
    <w:rsid w:val="008E471B"/>
    <w:rsid w:val="00961E95"/>
    <w:rsid w:val="009960B6"/>
    <w:rsid w:val="009C1602"/>
    <w:rsid w:val="009C722B"/>
    <w:rsid w:val="009D324E"/>
    <w:rsid w:val="009E6CEA"/>
    <w:rsid w:val="00A019F2"/>
    <w:rsid w:val="00A112E6"/>
    <w:rsid w:val="00A23348"/>
    <w:rsid w:val="00A43A12"/>
    <w:rsid w:val="00A83166"/>
    <w:rsid w:val="00A86016"/>
    <w:rsid w:val="00A86E1C"/>
    <w:rsid w:val="00A95477"/>
    <w:rsid w:val="00AA3E5A"/>
    <w:rsid w:val="00AD5265"/>
    <w:rsid w:val="00AE55DB"/>
    <w:rsid w:val="00AE7612"/>
    <w:rsid w:val="00AF5F58"/>
    <w:rsid w:val="00B013E1"/>
    <w:rsid w:val="00B0587D"/>
    <w:rsid w:val="00B06F89"/>
    <w:rsid w:val="00B4778E"/>
    <w:rsid w:val="00B5619D"/>
    <w:rsid w:val="00B56257"/>
    <w:rsid w:val="00B57E16"/>
    <w:rsid w:val="00BD2361"/>
    <w:rsid w:val="00BD293E"/>
    <w:rsid w:val="00BF0B47"/>
    <w:rsid w:val="00C16979"/>
    <w:rsid w:val="00C25946"/>
    <w:rsid w:val="00C333CD"/>
    <w:rsid w:val="00C7349F"/>
    <w:rsid w:val="00C76541"/>
    <w:rsid w:val="00C772CF"/>
    <w:rsid w:val="00CC46A1"/>
    <w:rsid w:val="00CD05F9"/>
    <w:rsid w:val="00CF6BAC"/>
    <w:rsid w:val="00D11E2C"/>
    <w:rsid w:val="00D27E26"/>
    <w:rsid w:val="00D43A1F"/>
    <w:rsid w:val="00D4767A"/>
    <w:rsid w:val="00D65F24"/>
    <w:rsid w:val="00D80B9B"/>
    <w:rsid w:val="00D94721"/>
    <w:rsid w:val="00D958DD"/>
    <w:rsid w:val="00DA7A1C"/>
    <w:rsid w:val="00E05E14"/>
    <w:rsid w:val="00E166A9"/>
    <w:rsid w:val="00E217A7"/>
    <w:rsid w:val="00E31090"/>
    <w:rsid w:val="00E659F0"/>
    <w:rsid w:val="00E65D3C"/>
    <w:rsid w:val="00E71CDE"/>
    <w:rsid w:val="00E90A1F"/>
    <w:rsid w:val="00EC7C1D"/>
    <w:rsid w:val="00ED1F83"/>
    <w:rsid w:val="00F031F6"/>
    <w:rsid w:val="00F049FC"/>
    <w:rsid w:val="00F13691"/>
    <w:rsid w:val="00F21C48"/>
    <w:rsid w:val="00F22F07"/>
    <w:rsid w:val="00F50276"/>
    <w:rsid w:val="00FB433F"/>
    <w:rsid w:val="00FB5DD8"/>
    <w:rsid w:val="00FD25CA"/>
    <w:rsid w:val="00FE5263"/>
    <w:rsid w:val="00FE6D28"/>
    <w:rsid w:val="2FD50B22"/>
    <w:rsid w:val="30C6D4DC"/>
    <w:rsid w:val="6AEA9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90A90B"/>
  <w15:chartTrackingRefBased/>
  <w15:docId w15:val="{C1B84CFD-5F7D-49BC-A6F8-DD91BB0E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C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C7C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5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F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073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619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3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C08"/>
  </w:style>
  <w:style w:type="paragraph" w:styleId="Footer">
    <w:name w:val="footer"/>
    <w:basedOn w:val="Normal"/>
    <w:link w:val="FooterChar"/>
    <w:uiPriority w:val="99"/>
    <w:unhideWhenUsed/>
    <w:rsid w:val="006D3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egistration.adgm.com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D9AF5-8C07-4247-9694-0D7283E0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Ruqaya Salman</dc:creator>
  <cp:keywords/>
  <dc:description/>
  <cp:lastModifiedBy>Mona Saleh</cp:lastModifiedBy>
  <cp:revision>2</cp:revision>
  <cp:lastPrinted>2022-07-04T10:16:00Z</cp:lastPrinted>
  <dcterms:created xsi:type="dcterms:W3CDTF">2022-07-04T11:11:00Z</dcterms:created>
  <dcterms:modified xsi:type="dcterms:W3CDTF">2022-07-04T11:11:00Z</dcterms:modified>
</cp:coreProperties>
</file>